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8AFEE">
      <w:pPr>
        <w:spacing w:before="120" w:after="120" w:line="288" w:lineRule="auto"/>
        <w:ind w:left="0" w:firstLine="0"/>
        <w:jc w:val="center"/>
        <w:rPr>
          <w:rFonts w:ascii="Arial" w:hAnsi="Arial" w:eastAsia="等线" w:cs="Arial"/>
          <w:b/>
          <w:sz w:val="22"/>
        </w:rPr>
      </w:pPr>
      <w:r>
        <w:rPr>
          <w:rFonts w:hint="eastAsia" w:eastAsia="宋体"/>
          <w:color w:val="374151"/>
          <w:sz w:val="24"/>
          <w:szCs w:val="24"/>
          <w:lang w:eastAsia="zh-CN"/>
        </w:rPr>
        <w:drawing>
          <wp:inline distT="0" distB="0" distL="114300" distR="114300">
            <wp:extent cx="5271770" cy="2635885"/>
            <wp:effectExtent l="0" t="0" r="11430" b="5715"/>
            <wp:docPr id="4" name="图片 1" descr="e58e5e71b5f4d5a1dfdc122e6050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e58e5e71b5f4d5a1dfdc122e60509850"/>
                    <pic:cNvPicPr>
                      <a:picLocks noChangeAspect="1"/>
                    </pic:cNvPicPr>
                  </pic:nvPicPr>
                  <pic:blipFill>
                    <a:blip r:embed="rId6"/>
                    <a:stretch>
                      <a:fillRect/>
                    </a:stretch>
                  </pic:blipFill>
                  <pic:spPr>
                    <a:xfrm>
                      <a:off x="0" y="0"/>
                      <a:ext cx="5271770" cy="2635885"/>
                    </a:xfrm>
                    <a:prstGeom prst="rect">
                      <a:avLst/>
                    </a:prstGeom>
                    <a:noFill/>
                    <a:ln>
                      <a:noFill/>
                    </a:ln>
                  </pic:spPr>
                </pic:pic>
              </a:graphicData>
            </a:graphic>
          </wp:inline>
        </w:drawing>
      </w:r>
    </w:p>
    <w:p w14:paraId="6037E183">
      <w:pPr>
        <w:spacing w:before="120" w:after="120" w:line="288" w:lineRule="auto"/>
        <w:ind w:left="0" w:firstLine="0"/>
        <w:jc w:val="center"/>
        <w:rPr>
          <w:sz w:val="22"/>
          <w:szCs w:val="24"/>
        </w:rPr>
      </w:pPr>
      <w:r>
        <w:rPr>
          <w:rFonts w:ascii="Arial" w:hAnsi="Arial" w:eastAsia="等线" w:cs="Arial"/>
          <w:b/>
          <w:sz w:val="24"/>
          <w:szCs w:val="24"/>
        </w:rPr>
        <w:t>中国建筑科学研究院有限公司</w:t>
      </w:r>
    </w:p>
    <w:p w14:paraId="1A9D25CD">
      <w:pPr>
        <w:spacing w:before="120" w:after="120" w:line="288" w:lineRule="auto"/>
        <w:ind w:left="0" w:firstLine="0"/>
        <w:jc w:val="center"/>
        <w:rPr>
          <w:sz w:val="22"/>
          <w:szCs w:val="24"/>
        </w:rPr>
      </w:pPr>
      <w:r>
        <w:rPr>
          <w:rFonts w:ascii="Arial" w:hAnsi="Arial" w:eastAsia="等线" w:cs="Arial"/>
          <w:b/>
          <w:sz w:val="24"/>
          <w:szCs w:val="24"/>
        </w:rPr>
        <w:t>"人工智能与高质量数据集高价值场景创新大赛"三号通知</w:t>
      </w:r>
    </w:p>
    <w:p w14:paraId="65BAEE30">
      <w:pPr>
        <w:spacing w:before="120" w:after="120" w:line="288" w:lineRule="auto"/>
        <w:ind w:left="0" w:firstLine="0"/>
        <w:jc w:val="center"/>
        <w:rPr>
          <w:sz w:val="22"/>
          <w:szCs w:val="24"/>
        </w:rPr>
      </w:pPr>
      <w:r>
        <w:rPr>
          <w:rFonts w:ascii="Arial" w:hAnsi="Arial" w:eastAsia="等线" w:cs="Arial"/>
          <w:b/>
          <w:sz w:val="24"/>
          <w:szCs w:val="24"/>
        </w:rPr>
        <w:t>数据筑基，智创未来</w:t>
      </w:r>
    </w:p>
    <w:p w14:paraId="6D4E2848">
      <w:pPr>
        <w:spacing w:before="120" w:after="120" w:line="288" w:lineRule="auto"/>
        <w:ind w:left="0" w:firstLine="420"/>
        <w:jc w:val="left"/>
      </w:pPr>
      <w:r>
        <w:rPr>
          <w:rFonts w:ascii="Arial" w:hAnsi="Arial" w:eastAsia="等线" w:cs="Arial"/>
          <w:sz w:val="22"/>
        </w:rPr>
        <w:t>有关单位、各参赛团队：</w:t>
      </w:r>
    </w:p>
    <w:p w14:paraId="133CAB22">
      <w:pPr>
        <w:spacing w:before="120" w:after="120" w:line="288" w:lineRule="auto"/>
        <w:ind w:left="0" w:firstLine="420"/>
        <w:jc w:val="left"/>
        <w:rPr>
          <w:rFonts w:ascii="Arial" w:hAnsi="Arial" w:eastAsia="等线" w:cs="Arial"/>
          <w:sz w:val="22"/>
        </w:rPr>
      </w:pPr>
      <w:r>
        <w:rPr>
          <w:rFonts w:ascii="Arial" w:hAnsi="Arial" w:eastAsia="等线" w:cs="Arial"/>
          <w:sz w:val="22"/>
        </w:rPr>
        <w:t>本大赛为国家数据局 2026 年“数据要素×”大赛全国总决赛推荐资格的第三方赛事，相关初审结果公告详见：</w:t>
      </w:r>
    </w:p>
    <w:p w14:paraId="4864306A">
      <w:pPr>
        <w:spacing w:before="120" w:after="120" w:line="288" w:lineRule="auto"/>
        <w:ind w:left="0" w:firstLine="420"/>
        <w:jc w:val="left"/>
        <w:rPr>
          <w:rFonts w:ascii="Arial" w:hAnsi="Arial" w:eastAsia="等线" w:cs="Arial"/>
          <w:sz w:val="22"/>
        </w:rPr>
      </w:pPr>
      <w:r>
        <w:rPr>
          <w:rStyle w:val="5"/>
          <w:rFonts w:ascii="宋体" w:hAnsi="宋体" w:eastAsia="宋体" w:cs="宋体"/>
          <w:b w:val="0"/>
          <w:bCs w:val="0"/>
          <w:color w:val="0000FF"/>
          <w:sz w:val="22"/>
          <w:szCs w:val="22"/>
          <w:u w:val="none"/>
        </w:rPr>
        <w:fldChar w:fldCharType="begin"/>
      </w:r>
      <w:r>
        <w:rPr>
          <w:rStyle w:val="5"/>
          <w:rFonts w:ascii="宋体" w:hAnsi="宋体" w:eastAsia="宋体" w:cs="宋体"/>
          <w:b w:val="0"/>
          <w:bCs w:val="0"/>
          <w:color w:val="0000FF"/>
          <w:sz w:val="22"/>
          <w:szCs w:val="22"/>
          <w:u w:val="none"/>
        </w:rPr>
        <w:instrText xml:space="preserve"> HYPERLINK "https://mp.weixin.qq.com/s/PtwUSLJyl_lIxwANitJQmQ" </w:instrText>
      </w:r>
      <w:r>
        <w:rPr>
          <w:rStyle w:val="5"/>
          <w:rFonts w:ascii="宋体" w:hAnsi="宋体" w:eastAsia="宋体" w:cs="宋体"/>
          <w:b w:val="0"/>
          <w:bCs w:val="0"/>
          <w:color w:val="0000FF"/>
          <w:sz w:val="22"/>
          <w:szCs w:val="22"/>
          <w:u w:val="none"/>
        </w:rPr>
        <w:fldChar w:fldCharType="separate"/>
      </w:r>
      <w:r>
        <w:rPr>
          <w:rStyle w:val="5"/>
          <w:rFonts w:ascii="宋体" w:hAnsi="宋体" w:eastAsia="宋体" w:cs="宋体"/>
          <w:b w:val="0"/>
          <w:bCs w:val="0"/>
          <w:color w:val="0000FF"/>
          <w:sz w:val="22"/>
          <w:szCs w:val="22"/>
          <w:u w:val="none"/>
        </w:rPr>
        <w:t>关于具有2026年“数据要素×”大赛全国总决赛推荐资格的第三方赛事初审结果的公告</w:t>
      </w:r>
      <w:r>
        <w:rPr>
          <w:rStyle w:val="5"/>
          <w:rFonts w:ascii="宋体" w:hAnsi="宋体" w:eastAsia="宋体" w:cs="宋体"/>
          <w:b w:val="0"/>
          <w:bCs w:val="0"/>
          <w:color w:val="0000FF"/>
          <w:sz w:val="22"/>
          <w:szCs w:val="22"/>
          <w:u w:val="none"/>
        </w:rPr>
        <w:fldChar w:fldCharType="end"/>
      </w:r>
      <w:r>
        <w:rPr>
          <w:rStyle w:val="5"/>
          <w:rFonts w:hint="eastAsia" w:ascii="宋体" w:hAnsi="宋体" w:eastAsia="宋体" w:cs="宋体"/>
          <w:b w:val="0"/>
          <w:bCs w:val="0"/>
          <w:color w:val="0000FF"/>
          <w:sz w:val="22"/>
          <w:szCs w:val="22"/>
          <w:u w:val="none"/>
          <w:lang w:eastAsia="zh-CN"/>
        </w:rPr>
        <w:t>【</w:t>
      </w:r>
      <w:r>
        <w:rPr>
          <w:rStyle w:val="5"/>
          <w:rFonts w:hint="eastAsia" w:ascii="宋体" w:hAnsi="宋体" w:eastAsia="宋体" w:cs="宋体"/>
          <w:b w:val="0"/>
          <w:bCs w:val="0"/>
          <w:color w:val="0000FF"/>
          <w:sz w:val="22"/>
          <w:szCs w:val="22"/>
          <w:u w:val="single"/>
        </w:rPr>
        <w:t>https://mp.weixin.qq.com/s/PtwUSLJyl_lIxwANitJQmQ</w:t>
      </w:r>
      <w:r>
        <w:rPr>
          <w:rStyle w:val="5"/>
          <w:rFonts w:hint="eastAsia" w:ascii="宋体" w:hAnsi="宋体" w:eastAsia="宋体" w:cs="宋体"/>
          <w:b w:val="0"/>
          <w:bCs w:val="0"/>
          <w:color w:val="0000FF"/>
          <w:sz w:val="22"/>
          <w:szCs w:val="22"/>
          <w:u w:val="none"/>
          <w:lang w:eastAsia="zh-CN"/>
        </w:rPr>
        <w:t>】</w:t>
      </w:r>
    </w:p>
    <w:p w14:paraId="72F35FA0">
      <w:pPr>
        <w:spacing w:before="120" w:after="120" w:line="288" w:lineRule="auto"/>
        <w:ind w:left="0" w:firstLine="420"/>
        <w:jc w:val="left"/>
        <w:rPr>
          <w:rFonts w:ascii="Arial" w:hAnsi="Arial" w:eastAsia="等线" w:cs="Arial"/>
          <w:sz w:val="22"/>
        </w:rPr>
      </w:pPr>
    </w:p>
    <w:p w14:paraId="69DC2C6E">
      <w:pPr>
        <w:spacing w:before="120" w:after="120" w:line="288" w:lineRule="auto"/>
        <w:ind w:left="0" w:firstLine="420"/>
        <w:jc w:val="left"/>
        <w:rPr>
          <w:rFonts w:ascii="Arial" w:hAnsi="Arial" w:eastAsia="等线" w:cs="Arial"/>
          <w:sz w:val="22"/>
        </w:rPr>
      </w:pPr>
      <w:r>
        <w:rPr>
          <w:rFonts w:ascii="Arial" w:hAnsi="Arial" w:eastAsia="等线" w:cs="Arial"/>
          <w:sz w:val="22"/>
        </w:rPr>
        <w:t>为便于参赛团队获取赛事资源，大赛组委会现发布三号通知，就大赛网站上线、数据集建设工具及平台、</w:t>
      </w:r>
      <w:r>
        <w:rPr>
          <w:rFonts w:hint="eastAsia" w:ascii="Arial" w:hAnsi="Arial" w:eastAsia="等线" w:cs="Arial"/>
          <w:sz w:val="22"/>
          <w:lang w:val="en-US" w:eastAsia="zh-CN"/>
        </w:rPr>
        <w:t>智能体开发</w:t>
      </w:r>
      <w:r>
        <w:rPr>
          <w:rFonts w:ascii="Arial" w:hAnsi="Arial" w:eastAsia="等线" w:cs="Arial"/>
          <w:sz w:val="22"/>
        </w:rPr>
        <w:t>支持平台及方案说明书模板事项说明如下。</w:t>
      </w:r>
    </w:p>
    <w:p w14:paraId="723BF3BC">
      <w:pPr>
        <w:spacing w:before="120" w:after="120" w:line="288" w:lineRule="auto"/>
        <w:ind w:left="0" w:firstLine="420"/>
        <w:jc w:val="left"/>
      </w:pPr>
      <w:r>
        <w:rPr>
          <w:rFonts w:ascii="Arial" w:hAnsi="Arial" w:eastAsia="等线" w:cs="Arial"/>
          <w:b/>
          <w:sz w:val="22"/>
        </w:rPr>
        <w:t>一、大赛网站上线</w:t>
      </w:r>
    </w:p>
    <w:p w14:paraId="66077333">
      <w:pPr>
        <w:spacing w:before="120" w:after="120" w:line="288" w:lineRule="auto"/>
        <w:ind w:left="0" w:firstLine="420"/>
        <w:jc w:val="left"/>
        <w:rPr>
          <w:rFonts w:hint="eastAsia" w:ascii="Arial" w:hAnsi="Arial" w:eastAsia="等线" w:cs="Arial"/>
          <w:sz w:val="22"/>
        </w:rPr>
      </w:pPr>
      <w:r>
        <w:rPr>
          <w:rFonts w:hint="eastAsia" w:ascii="Arial" w:hAnsi="Arial" w:eastAsia="等线" w:cs="Arial"/>
          <w:sz w:val="22"/>
        </w:rPr>
        <w:t>大赛网站已正式上线，网址为https://www.gbcloud.pkpm.cn/competitionForAIAndHighQualityDatasets/。网站提供以下功能：</w:t>
      </w:r>
    </w:p>
    <w:p w14:paraId="54761D21">
      <w:pPr>
        <w:spacing w:before="120" w:after="120" w:line="288" w:lineRule="auto"/>
        <w:ind w:left="0" w:firstLine="420"/>
        <w:jc w:val="left"/>
        <w:rPr>
          <w:rFonts w:hint="eastAsia" w:ascii="Arial" w:hAnsi="Arial" w:eastAsia="等线" w:cs="Arial"/>
          <w:sz w:val="22"/>
        </w:rPr>
      </w:pPr>
      <w:r>
        <w:rPr>
          <w:rFonts w:hint="eastAsia" w:ascii="Arial" w:hAnsi="Arial" w:eastAsia="等线" w:cs="Arial"/>
          <w:sz w:val="22"/>
        </w:rPr>
        <w:t>1. 在线报名：参赛团队可通过网站提交报名信息和参赛意向表，已通过邮箱报名的团队请登录网站核对并完善团队信息。</w:t>
      </w:r>
    </w:p>
    <w:p w14:paraId="370B5701">
      <w:pPr>
        <w:spacing w:before="120" w:after="120" w:line="288" w:lineRule="auto"/>
        <w:ind w:left="0" w:firstLine="420"/>
        <w:jc w:val="left"/>
        <w:rPr>
          <w:rFonts w:hint="eastAsia" w:ascii="Arial" w:hAnsi="Arial" w:eastAsia="等线" w:cs="Arial"/>
          <w:sz w:val="22"/>
        </w:rPr>
      </w:pPr>
      <w:r>
        <w:rPr>
          <w:rFonts w:hint="eastAsia" w:ascii="Arial" w:hAnsi="Arial" w:eastAsia="等线" w:cs="Arial"/>
          <w:sz w:val="22"/>
        </w:rPr>
        <w:t>2. 通知发布：网站将及时发布大赛最新通知和赛事安排。</w:t>
      </w:r>
    </w:p>
    <w:p w14:paraId="6CBCA72A">
      <w:pPr>
        <w:spacing w:before="120" w:after="120" w:line="288" w:lineRule="auto"/>
        <w:ind w:left="0" w:firstLine="420"/>
        <w:jc w:val="left"/>
        <w:rPr>
          <w:rFonts w:hint="eastAsia" w:ascii="Arial" w:hAnsi="Arial" w:eastAsia="等线" w:cs="Arial"/>
          <w:sz w:val="22"/>
        </w:rPr>
      </w:pPr>
      <w:r>
        <w:rPr>
          <w:rFonts w:hint="eastAsia" w:ascii="Arial" w:hAnsi="Arial" w:eastAsia="等线" w:cs="Arial"/>
          <w:sz w:val="22"/>
        </w:rPr>
        <w:t>3. 文档下载：提供参赛意向表、参赛方案说明书模板及相关附件的下载。</w:t>
      </w:r>
    </w:p>
    <w:p w14:paraId="3E94E0A8">
      <w:pPr>
        <w:spacing w:before="120" w:after="120" w:line="288" w:lineRule="auto"/>
        <w:ind w:left="0" w:firstLine="420"/>
        <w:jc w:val="left"/>
        <w:rPr>
          <w:rFonts w:hint="eastAsia" w:ascii="Arial" w:hAnsi="Arial" w:eastAsia="等线" w:cs="Arial"/>
          <w:sz w:val="22"/>
        </w:rPr>
      </w:pPr>
      <w:r>
        <w:rPr>
          <w:rFonts w:hint="eastAsia" w:ascii="Arial" w:hAnsi="Arial" w:eastAsia="等线" w:cs="Arial"/>
          <w:sz w:val="22"/>
        </w:rPr>
        <w:t>4. 培训视频：提供大赛公开培训与专家讲座视频，培训资源将持续更新。</w:t>
      </w:r>
    </w:p>
    <w:p w14:paraId="0EA5BE1B">
      <w:pPr>
        <w:spacing w:before="120" w:after="120" w:line="288" w:lineRule="auto"/>
        <w:ind w:left="0" w:firstLine="420"/>
        <w:jc w:val="left"/>
        <w:rPr>
          <w:rFonts w:hint="eastAsia" w:ascii="Arial" w:hAnsi="Arial" w:eastAsia="等线" w:cs="Arial"/>
          <w:sz w:val="22"/>
        </w:rPr>
      </w:pPr>
      <w:r>
        <w:rPr>
          <w:rFonts w:hint="eastAsia" w:ascii="Arial" w:hAnsi="Arial" w:eastAsia="等线" w:cs="Arial"/>
          <w:sz w:val="22"/>
        </w:rPr>
        <w:t>5. 技术支持入口：提供高质量数据集建设平台、PKPM Agent 2.0开发平台相关资料和技术支持联系方式。</w:t>
      </w:r>
    </w:p>
    <w:p w14:paraId="7B700BFC">
      <w:pPr>
        <w:spacing w:before="120" w:after="120" w:line="288" w:lineRule="auto"/>
        <w:ind w:left="0" w:firstLine="420"/>
        <w:jc w:val="left"/>
        <w:rPr>
          <w:rFonts w:hint="eastAsia" w:ascii="Arial" w:hAnsi="Arial" w:eastAsia="等线" w:cs="Arial"/>
          <w:sz w:val="22"/>
        </w:rPr>
      </w:pPr>
      <w:r>
        <w:rPr>
          <w:rFonts w:hint="eastAsia" w:ascii="Arial" w:hAnsi="Arial" w:eastAsia="等线" w:cs="Arial"/>
          <w:sz w:val="22"/>
        </w:rPr>
        <w:t>请各团队关注网站信息更新。</w:t>
      </w:r>
    </w:p>
    <w:p w14:paraId="4A25E4DE">
      <w:pPr>
        <w:spacing w:before="120" w:after="120" w:line="288" w:lineRule="auto"/>
        <w:ind w:left="0" w:firstLine="420"/>
        <w:jc w:val="left"/>
        <w:rPr>
          <w:rFonts w:hint="eastAsia" w:ascii="Arial" w:hAnsi="Arial" w:eastAsia="等线" w:cs="Arial"/>
          <w:sz w:val="22"/>
        </w:rPr>
      </w:pPr>
      <w:r>
        <w:rPr>
          <w:rFonts w:hint="eastAsia" w:ascii="Arial" w:hAnsi="Arial" w:eastAsia="等线" w:cs="Arial"/>
          <w:sz w:val="22"/>
        </w:rPr>
        <w:t>本次大赛为公益性赛事，全程不向参赛团队收取任何报名费、参赛费或平台使用费。大赛所提及的数据集建设工具、智能体开发平台及相关技术支持服务，均为组委会向参赛团队提供的建议性资源，供各团队根据自身项目需求自主选择使用。是否采用上述平台或工具，不影响参赛资格及评审专家对方案本身的独立评价。</w:t>
      </w:r>
    </w:p>
    <w:p w14:paraId="7D7CEFF5">
      <w:pPr>
        <w:spacing w:before="120" w:after="120" w:line="288" w:lineRule="auto"/>
        <w:ind w:left="0" w:firstLine="420"/>
        <w:jc w:val="left"/>
        <w:rPr>
          <w:rFonts w:ascii="Arial" w:hAnsi="Arial" w:eastAsia="等线" w:cs="Arial"/>
          <w:b/>
          <w:sz w:val="22"/>
        </w:rPr>
      </w:pPr>
      <w:r>
        <w:rPr>
          <w:rFonts w:ascii="Arial" w:hAnsi="Arial" w:eastAsia="等线" w:cs="Arial"/>
          <w:b/>
          <w:sz w:val="22"/>
        </w:rPr>
        <w:t>二、数据集建设工具及平台支持</w:t>
      </w:r>
    </w:p>
    <w:p w14:paraId="5151A76F">
      <w:pPr>
        <w:spacing w:before="120" w:after="120" w:line="288" w:lineRule="auto"/>
        <w:ind w:left="0" w:firstLine="420"/>
        <w:jc w:val="left"/>
      </w:pPr>
      <w:r>
        <w:rPr>
          <w:rFonts w:ascii="Arial" w:hAnsi="Arial" w:eastAsia="等线" w:cs="Arial"/>
          <w:sz w:val="22"/>
        </w:rPr>
        <w:t>大赛期间，</w:t>
      </w:r>
      <w:r>
        <w:rPr>
          <w:rFonts w:hint="eastAsia" w:ascii="Arial" w:hAnsi="Arial" w:eastAsia="等线" w:cs="Arial"/>
          <w:sz w:val="22"/>
        </w:rPr>
        <w:t>由城熵科技提供的高质量数据集建设工具及平台将作为推荐的数据集建设支撑工具</w:t>
      </w:r>
      <w:r>
        <w:rPr>
          <w:rFonts w:ascii="Arial" w:hAnsi="Arial" w:eastAsia="等线" w:cs="Arial"/>
          <w:sz w:val="22"/>
        </w:rPr>
        <w:t>，供参赛团队</w:t>
      </w:r>
      <w:r>
        <w:rPr>
          <w:rFonts w:hint="eastAsia" w:ascii="Arial" w:hAnsi="Arial" w:eastAsia="等线" w:cs="Arial"/>
          <w:sz w:val="22"/>
        </w:rPr>
        <w:t>按需</w:t>
      </w:r>
      <w:r>
        <w:rPr>
          <w:rFonts w:ascii="Arial" w:hAnsi="Arial" w:eastAsia="等线" w:cs="Arial"/>
          <w:sz w:val="22"/>
        </w:rPr>
        <w:t>使用，支持参赛团队开展数据集建设、治理、标注和管理工作。</w:t>
      </w:r>
    </w:p>
    <w:p w14:paraId="583AC337">
      <w:pPr>
        <w:spacing w:before="120" w:after="120" w:line="288" w:lineRule="auto"/>
        <w:ind w:left="0" w:firstLine="420"/>
        <w:jc w:val="left"/>
      </w:pPr>
      <w:r>
        <w:rPr>
          <w:rFonts w:ascii="Arial" w:hAnsi="Arial" w:eastAsia="等线" w:cs="Arial"/>
          <w:sz w:val="22"/>
        </w:rPr>
        <w:t>1.数据规划工具</w:t>
      </w:r>
      <w:r>
        <w:rPr>
          <w:rFonts w:hint="eastAsia" w:ascii="Arial" w:hAnsi="Arial" w:eastAsia="等线" w:cs="Arial"/>
          <w:sz w:val="22"/>
          <w:lang w:eastAsia="zh-CN"/>
        </w:rPr>
        <w:t>：</w:t>
      </w:r>
      <w:r>
        <w:rPr>
          <w:rFonts w:ascii="Arial" w:hAnsi="Arial" w:eastAsia="等线" w:cs="Arial"/>
          <w:sz w:val="22"/>
        </w:rPr>
        <w:t>支持元数据目录管理、数仓规划、标准管理和机构管理，参赛团队可用于梳理数据集建设范围、数据分类和相关标准。</w:t>
      </w:r>
    </w:p>
    <w:p w14:paraId="2349CD9F">
      <w:pPr>
        <w:spacing w:before="120" w:after="120" w:line="288" w:lineRule="auto"/>
        <w:ind w:left="0" w:firstLine="420"/>
        <w:jc w:val="left"/>
      </w:pPr>
      <w:r>
        <w:rPr>
          <w:rFonts w:ascii="Arial" w:hAnsi="Arial" w:eastAsia="等线" w:cs="Arial"/>
          <w:sz w:val="22"/>
        </w:rPr>
        <w:t>2.数据采集工具</w:t>
      </w:r>
      <w:r>
        <w:rPr>
          <w:rFonts w:hint="eastAsia" w:ascii="Arial" w:hAnsi="Arial" w:eastAsia="等线" w:cs="Arial"/>
          <w:sz w:val="22"/>
          <w:lang w:eastAsia="zh-CN"/>
        </w:rPr>
        <w:t>：</w:t>
      </w:r>
      <w:r>
        <w:rPr>
          <w:rFonts w:ascii="Arial" w:hAnsi="Arial" w:eastAsia="等线" w:cs="Arial"/>
          <w:sz w:val="22"/>
        </w:rPr>
        <w:t>支持数据源管理、元数据采集、结构化采集、API采集、人工录入和文件接入，参赛团队可根据数据来源选择相应方式汇聚数据。</w:t>
      </w:r>
    </w:p>
    <w:p w14:paraId="242813D2">
      <w:pPr>
        <w:spacing w:before="120" w:after="120" w:line="288" w:lineRule="auto"/>
        <w:ind w:left="0" w:firstLine="420"/>
        <w:jc w:val="left"/>
      </w:pPr>
      <w:r>
        <w:rPr>
          <w:rFonts w:ascii="Arial" w:hAnsi="Arial" w:eastAsia="等线" w:cs="Arial"/>
          <w:sz w:val="22"/>
        </w:rPr>
        <w:t>3.数据处理工具</w:t>
      </w:r>
      <w:r>
        <w:rPr>
          <w:rFonts w:hint="eastAsia" w:ascii="Arial" w:hAnsi="Arial" w:eastAsia="等线" w:cs="Arial"/>
          <w:sz w:val="22"/>
          <w:lang w:eastAsia="zh-CN"/>
        </w:rPr>
        <w:t>：</w:t>
      </w:r>
      <w:r>
        <w:rPr>
          <w:rFonts w:ascii="Arial" w:hAnsi="Arial" w:eastAsia="等线" w:cs="Arial"/>
          <w:sz w:val="22"/>
        </w:rPr>
        <w:t>支持数据清洗、数据质检、错误记录管理和数据开发，参赛团队可用于开展数据规范化处理、质量检查和必要的数据加工。</w:t>
      </w:r>
    </w:p>
    <w:p w14:paraId="4233A0BD">
      <w:pPr>
        <w:spacing w:before="120" w:after="120" w:line="288" w:lineRule="auto"/>
        <w:ind w:left="0" w:firstLine="420"/>
        <w:jc w:val="left"/>
      </w:pPr>
      <w:r>
        <w:rPr>
          <w:rFonts w:ascii="Arial" w:hAnsi="Arial" w:eastAsia="等线" w:cs="Arial"/>
          <w:sz w:val="22"/>
        </w:rPr>
        <w:t>4.数据安全工具</w:t>
      </w:r>
      <w:r>
        <w:rPr>
          <w:rFonts w:hint="eastAsia" w:ascii="Arial" w:hAnsi="Arial" w:eastAsia="等线" w:cs="Arial"/>
          <w:sz w:val="22"/>
          <w:lang w:eastAsia="zh-CN"/>
        </w:rPr>
        <w:t>：</w:t>
      </w:r>
      <w:r>
        <w:rPr>
          <w:rFonts w:ascii="Arial" w:hAnsi="Arial" w:eastAsia="等线" w:cs="Arial"/>
          <w:sz w:val="22"/>
        </w:rPr>
        <w:t>支持安全等级、脱敏规则和数据权限配置，参赛团队可根据数据使用要求设置访问、脱敏和字段级权限。</w:t>
      </w:r>
    </w:p>
    <w:p w14:paraId="461360F1">
      <w:pPr>
        <w:spacing w:before="120" w:after="120" w:line="288" w:lineRule="auto"/>
        <w:ind w:left="0" w:firstLine="420"/>
        <w:jc w:val="left"/>
      </w:pPr>
      <w:r>
        <w:rPr>
          <w:rFonts w:ascii="Arial" w:hAnsi="Arial" w:eastAsia="等线" w:cs="Arial"/>
          <w:sz w:val="22"/>
        </w:rPr>
        <w:t>5.数据标注工具</w:t>
      </w:r>
      <w:r>
        <w:rPr>
          <w:rFonts w:hint="eastAsia" w:ascii="Arial" w:hAnsi="Arial" w:eastAsia="等线" w:cs="Arial"/>
          <w:sz w:val="22"/>
          <w:lang w:eastAsia="zh-CN"/>
        </w:rPr>
        <w:t>：</w:t>
      </w:r>
      <w:r>
        <w:rPr>
          <w:rFonts w:ascii="Arial" w:hAnsi="Arial" w:eastAsia="等线" w:cs="Arial"/>
          <w:sz w:val="22"/>
        </w:rPr>
        <w:t>支持待标注数据API、待标注权限管理和数据标注平台跳转，参赛团队可按需衔接标注平台开展数据标注工作。</w:t>
      </w:r>
    </w:p>
    <w:p w14:paraId="4AB84B94">
      <w:pPr>
        <w:spacing w:before="120" w:after="120" w:line="288" w:lineRule="auto"/>
        <w:ind w:left="0" w:firstLine="420"/>
        <w:jc w:val="left"/>
      </w:pPr>
      <w:r>
        <w:rPr>
          <w:rFonts w:ascii="Arial" w:hAnsi="Arial" w:eastAsia="等线" w:cs="Arial"/>
          <w:sz w:val="22"/>
        </w:rPr>
        <w:t>6.数据集管理工具</w:t>
      </w:r>
      <w:r>
        <w:rPr>
          <w:rFonts w:hint="eastAsia" w:ascii="Arial" w:hAnsi="Arial" w:eastAsia="等线" w:cs="Arial"/>
          <w:sz w:val="22"/>
          <w:lang w:eastAsia="zh-CN"/>
        </w:rPr>
        <w:t>：</w:t>
      </w:r>
      <w:r>
        <w:rPr>
          <w:rFonts w:ascii="Arial" w:hAnsi="Arial" w:eastAsia="等线" w:cs="Arial"/>
          <w:sz w:val="22"/>
        </w:rPr>
        <w:t>支持数据集总览、数据集目录、数据集查阅、数据集申请、服务审批和密钥管理，参赛团队可用于管理已形成的数据集成果及相关服务。</w:t>
      </w:r>
    </w:p>
    <w:p w14:paraId="4F16168D">
      <w:pPr>
        <w:spacing w:before="120" w:after="120" w:line="288" w:lineRule="auto"/>
        <w:ind w:left="0" w:firstLine="420"/>
        <w:jc w:val="left"/>
      </w:pPr>
      <w:r>
        <w:rPr>
          <w:rFonts w:ascii="Arial" w:hAnsi="Arial" w:eastAsia="等线" w:cs="Arial"/>
          <w:sz w:val="22"/>
        </w:rPr>
        <w:t>建议参赛团队根据项目需要选用相关工具。如使用平台能力，请在方案说明书数据治理计划或技术方案部分予以说明。</w:t>
      </w:r>
    </w:p>
    <w:p w14:paraId="03FF1B0F">
      <w:pPr>
        <w:spacing w:before="120" w:after="120" w:line="288" w:lineRule="auto"/>
        <w:ind w:left="0" w:firstLine="420"/>
        <w:jc w:val="left"/>
      </w:pPr>
      <w:r>
        <w:rPr>
          <w:rFonts w:ascii="Arial" w:hAnsi="Arial" w:eastAsia="等线" w:cs="Arial"/>
          <w:b/>
          <w:sz w:val="22"/>
        </w:rPr>
        <w:t>三、技术支持平台</w:t>
      </w:r>
    </w:p>
    <w:p w14:paraId="6A2555AB">
      <w:pPr>
        <w:spacing w:before="120" w:after="120" w:line="288" w:lineRule="auto"/>
        <w:ind w:left="0" w:firstLine="420"/>
        <w:jc w:val="left"/>
      </w:pPr>
      <w:r>
        <w:rPr>
          <w:rFonts w:hint="eastAsia" w:ascii="Arial" w:hAnsi="Arial" w:eastAsia="等线" w:cs="Arial"/>
          <w:sz w:val="22"/>
        </w:rPr>
        <w:t xml:space="preserve">大赛期间，由构力科技提供的 PKPM </w:t>
      </w:r>
      <w:r>
        <w:rPr>
          <w:rFonts w:ascii="Arial" w:hAnsi="Arial" w:eastAsia="等线" w:cs="Arial"/>
          <w:sz w:val="22"/>
        </w:rPr>
        <w:t>Agent</w:t>
      </w:r>
      <w:r>
        <w:rPr>
          <w:rFonts w:hint="eastAsia" w:ascii="Arial" w:hAnsi="Arial" w:eastAsia="等线" w:cs="Arial"/>
          <w:sz w:val="22"/>
        </w:rPr>
        <w:t xml:space="preserve"> 2.0 工程智能体平台将作为推荐的技术开发底座，供参赛团队按需使用。</w:t>
      </w:r>
    </w:p>
    <w:p w14:paraId="5309CE66">
      <w:pPr>
        <w:spacing w:before="120" w:after="120" w:line="288" w:lineRule="auto"/>
        <w:ind w:left="0" w:firstLine="420"/>
        <w:jc w:val="left"/>
      </w:pPr>
      <w:r>
        <w:rPr>
          <w:rFonts w:ascii="Arial" w:hAnsi="Arial" w:eastAsia="等线" w:cs="Arial"/>
          <w:sz w:val="22"/>
        </w:rPr>
        <w:t>PKPM Agent 2.0以工程智能本体、检索增强生成、异常检测、持续迭代和分级人机交互校验为技术支柱，提供MCP服务，支持自然语言配置工作说明书。平台已打通CAD、</w:t>
      </w:r>
      <w:r>
        <w:rPr>
          <w:rFonts w:hint="eastAsia" w:ascii="Arial" w:hAnsi="Arial" w:eastAsia="等线" w:cs="Arial"/>
          <w:sz w:val="22"/>
        </w:rPr>
        <w:t>Rhino、sap2000</w:t>
      </w:r>
      <w:r>
        <w:rPr>
          <w:rFonts w:ascii="Arial" w:hAnsi="Arial" w:eastAsia="等线" w:cs="Arial"/>
          <w:sz w:val="22"/>
        </w:rPr>
        <w:t>、PKPM结构等专业软件和Office等通用软件，可在结构设计、复杂建模、文档生成等场景下调度。</w:t>
      </w:r>
    </w:p>
    <w:p w14:paraId="1182324C">
      <w:pPr>
        <w:spacing w:before="120" w:after="120" w:line="288" w:lineRule="auto"/>
        <w:ind w:left="0" w:firstLine="420"/>
        <w:jc w:val="left"/>
      </w:pPr>
      <w:r>
        <w:rPr>
          <w:rFonts w:ascii="Arial" w:hAnsi="Arial" w:eastAsia="等线" w:cs="Arial"/>
          <w:sz w:val="22"/>
        </w:rPr>
        <w:t>大赛期间，构力科技为参赛团队提供以下支持：</w:t>
      </w:r>
    </w:p>
    <w:p w14:paraId="631E6676">
      <w:pPr>
        <w:spacing w:before="120" w:after="120" w:line="288" w:lineRule="auto"/>
        <w:ind w:left="0" w:firstLine="420"/>
        <w:jc w:val="left"/>
      </w:pPr>
      <w:r>
        <w:rPr>
          <w:rFonts w:ascii="Arial" w:hAnsi="Arial" w:eastAsia="等线" w:cs="Arial"/>
          <w:sz w:val="22"/>
        </w:rPr>
        <w:t>1. 基础平台与基础功能包。提供基础平台环境及基础功能包，涵盖结构建模、智能识图、荷载自动布置、构件优化等核心模块的调用能力，参赛者可在此基础上进行二次开发。</w:t>
      </w:r>
    </w:p>
    <w:p w14:paraId="51BE8FE1">
      <w:pPr>
        <w:spacing w:before="120" w:after="120" w:line="288" w:lineRule="auto"/>
        <w:ind w:left="0" w:firstLine="420"/>
        <w:jc w:val="left"/>
      </w:pPr>
      <w:r>
        <w:rPr>
          <w:rFonts w:ascii="Arial" w:hAnsi="Arial" w:eastAsia="等线" w:cs="Arial"/>
          <w:sz w:val="22"/>
        </w:rPr>
        <w:t>2. 技术资料与答疑。大赛网站技术支持专栏提供PKPM Agent 2.0开发者指南及常见问题手册。大赛期间将安排线上技术答疑和专题辅导，具体时间见网站通知。</w:t>
      </w:r>
    </w:p>
    <w:p w14:paraId="30396A83">
      <w:pPr>
        <w:spacing w:before="120" w:after="120" w:line="288" w:lineRule="auto"/>
        <w:ind w:left="0"/>
        <w:jc w:val="center"/>
      </w:pPr>
    </w:p>
    <w:p w14:paraId="081BC4E2">
      <w:pPr>
        <w:spacing w:before="120" w:after="120" w:line="288" w:lineRule="auto"/>
        <w:ind w:left="0"/>
        <w:jc w:val="center"/>
      </w:pPr>
      <w:r>
        <w:drawing>
          <wp:inline distT="0" distB="0" distL="0" distR="0">
            <wp:extent cx="4686300" cy="2495550"/>
            <wp:effectExtent l="0" t="0" r="0" b="6350"/>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7"/>
                    <a:stretch>
                      <a:fillRect/>
                    </a:stretch>
                  </pic:blipFill>
                  <pic:spPr>
                    <a:xfrm>
                      <a:off x="0" y="0"/>
                      <a:ext cx="4686300" cy="2495550"/>
                    </a:xfrm>
                    <a:prstGeom prst="rect">
                      <a:avLst/>
                    </a:prstGeom>
                  </pic:spPr>
                </pic:pic>
              </a:graphicData>
            </a:graphic>
          </wp:inline>
        </w:drawing>
      </w:r>
    </w:p>
    <w:p w14:paraId="5A96780E">
      <w:pPr>
        <w:spacing w:before="120" w:after="120" w:line="288" w:lineRule="auto"/>
        <w:ind w:left="0" w:firstLine="420"/>
        <w:jc w:val="left"/>
      </w:pPr>
      <w:r>
        <w:rPr>
          <w:rFonts w:ascii="Arial" w:hAnsi="Arial" w:eastAsia="等线" w:cs="Arial"/>
          <w:sz w:val="22"/>
        </w:rPr>
        <w:t>建议参赛团队根据项目需要选用该平台。如使用平台能力，请在方案说明书技术方案部分予以说明。</w:t>
      </w:r>
    </w:p>
    <w:p w14:paraId="1553532C">
      <w:pPr>
        <w:spacing w:before="120" w:after="120" w:line="288" w:lineRule="auto"/>
        <w:ind w:left="0" w:firstLine="420"/>
        <w:jc w:val="left"/>
      </w:pPr>
      <w:r>
        <w:rPr>
          <w:rFonts w:ascii="Arial" w:hAnsi="Arial" w:eastAsia="等线" w:cs="Arial"/>
          <w:b/>
          <w:sz w:val="22"/>
        </w:rPr>
        <w:t>四、参赛方案说明书模板</w:t>
      </w:r>
    </w:p>
    <w:p w14:paraId="75330DDB">
      <w:pPr>
        <w:spacing w:before="120" w:after="120" w:line="288" w:lineRule="auto"/>
        <w:ind w:left="0" w:firstLine="420"/>
        <w:jc w:val="left"/>
      </w:pPr>
      <w:r>
        <w:rPr>
          <w:rFonts w:ascii="Arial" w:hAnsi="Arial" w:eastAsia="等线" w:cs="Arial"/>
          <w:sz w:val="22"/>
        </w:rPr>
        <w:t>组委会编制了参赛方案说明书模板，已在大赛网站文档下载专区提供。模板主要章节如下：</w:t>
      </w:r>
    </w:p>
    <w:p w14:paraId="5FFEA46A">
      <w:pPr>
        <w:spacing w:before="120" w:after="120" w:line="288" w:lineRule="auto"/>
        <w:ind w:left="0" w:firstLine="420"/>
        <w:jc w:val="left"/>
      </w:pPr>
      <w:r>
        <w:rPr>
          <w:rFonts w:ascii="Arial" w:hAnsi="Arial" w:eastAsia="等线" w:cs="Arial"/>
          <w:sz w:val="22"/>
        </w:rPr>
        <w:t>一、项目背景（业务现状、痛点与数据瓶颈、拟解决的问题）</w:t>
      </w:r>
    </w:p>
    <w:p w14:paraId="6301EC0A">
      <w:pPr>
        <w:spacing w:before="120" w:after="120" w:line="288" w:lineRule="auto"/>
        <w:ind w:left="0" w:firstLine="420"/>
        <w:jc w:val="left"/>
      </w:pPr>
      <w:r>
        <w:rPr>
          <w:rFonts w:ascii="Arial" w:hAnsi="Arial" w:eastAsia="等线" w:cs="Arial"/>
          <w:sz w:val="22"/>
        </w:rPr>
        <w:t>二、技术方案（总体技术路线、场景定义与模型构建、应用系统设计）</w:t>
      </w:r>
    </w:p>
    <w:p w14:paraId="686917DC">
      <w:pPr>
        <w:spacing w:before="120" w:after="120" w:line="288" w:lineRule="auto"/>
        <w:ind w:left="0" w:firstLine="420"/>
        <w:jc w:val="left"/>
      </w:pPr>
      <w:r>
        <w:rPr>
          <w:rFonts w:ascii="Arial" w:hAnsi="Arial" w:eastAsia="等线" w:cs="Arial"/>
          <w:sz w:val="22"/>
        </w:rPr>
        <w:t>三、数据治理计划（数据来源与采集、清洗与标准化、标注方案、安全合规、质量保障）</w:t>
      </w:r>
    </w:p>
    <w:p w14:paraId="47097AD2">
      <w:pPr>
        <w:spacing w:before="120" w:after="120" w:line="288" w:lineRule="auto"/>
        <w:ind w:left="0" w:firstLine="420"/>
        <w:jc w:val="left"/>
      </w:pPr>
      <w:r>
        <w:rPr>
          <w:rFonts w:ascii="Arial" w:hAnsi="Arial" w:eastAsia="等线" w:cs="Arial"/>
          <w:sz w:val="22"/>
        </w:rPr>
        <w:t>四、实施计划（阶段划分、关键里程碑与交付物、风险与应对）</w:t>
      </w:r>
    </w:p>
    <w:p w14:paraId="2B8C7CB8">
      <w:pPr>
        <w:spacing w:before="120" w:after="120" w:line="288" w:lineRule="auto"/>
        <w:ind w:left="0" w:firstLine="420"/>
        <w:jc w:val="left"/>
      </w:pPr>
      <w:r>
        <w:rPr>
          <w:rFonts w:ascii="Arial" w:hAnsi="Arial" w:eastAsia="等线" w:cs="Arial"/>
          <w:sz w:val="22"/>
        </w:rPr>
        <w:t>五、团队优势（核心团队、项目经验、合作生态与资源）</w:t>
      </w:r>
    </w:p>
    <w:p w14:paraId="505F1C9F">
      <w:pPr>
        <w:spacing w:before="120" w:after="120" w:line="288" w:lineRule="auto"/>
        <w:ind w:left="0" w:firstLine="420"/>
        <w:jc w:val="left"/>
      </w:pPr>
      <w:r>
        <w:rPr>
          <w:rFonts w:ascii="Arial" w:hAnsi="Arial" w:eastAsia="等线" w:cs="Arial"/>
          <w:sz w:val="22"/>
        </w:rPr>
        <w:t>六、预期成果（数据集成果、模型或应用成果、业务价值与推广前景）</w:t>
      </w:r>
    </w:p>
    <w:p w14:paraId="7CCAC39D">
      <w:pPr>
        <w:spacing w:before="120" w:after="120" w:line="288" w:lineRule="auto"/>
        <w:ind w:left="0" w:firstLine="420"/>
        <w:jc w:val="left"/>
      </w:pPr>
      <w:r>
        <w:rPr>
          <w:rFonts w:ascii="Arial" w:hAnsi="Arial" w:eastAsia="等线" w:cs="Arial"/>
          <w:sz w:val="22"/>
        </w:rPr>
        <w:t>请各团队参照模板撰写方案，内容应具体务实，数据可验证。方案说明书以PDF格式提交并加盖单位公章，与其他参赛材料于2026年7月15日前通过大赛官方邮箱或网站报名系统完成报送。</w:t>
      </w:r>
    </w:p>
    <w:p w14:paraId="49FCBE45">
      <w:pPr>
        <w:spacing w:before="120" w:after="120" w:line="288" w:lineRule="auto"/>
        <w:ind w:left="0" w:firstLine="420"/>
        <w:jc w:val="left"/>
      </w:pPr>
      <w:r>
        <w:rPr>
          <w:rFonts w:ascii="Arial" w:hAnsi="Arial" w:eastAsia="等线" w:cs="Arial"/>
          <w:b/>
          <w:sz w:val="22"/>
        </w:rPr>
        <w:t>五、其他</w:t>
      </w:r>
    </w:p>
    <w:p w14:paraId="4FC0443C">
      <w:pPr>
        <w:spacing w:before="120" w:after="120" w:line="288" w:lineRule="auto"/>
        <w:ind w:left="0" w:firstLine="420"/>
        <w:jc w:val="left"/>
      </w:pPr>
      <w:r>
        <w:rPr>
          <w:rFonts w:ascii="Arial" w:hAnsi="Arial" w:eastAsia="等线" w:cs="Arial"/>
          <w:sz w:val="22"/>
        </w:rPr>
        <w:t>1. 大赛赛程和评审规则以二号通知为准。后续培训及辅导信息通过官网和官方公众号发布。</w:t>
      </w:r>
    </w:p>
    <w:p w14:paraId="0373F939">
      <w:pPr>
        <w:spacing w:before="120" w:after="120" w:line="288" w:lineRule="auto"/>
        <w:ind w:left="0" w:firstLine="420"/>
        <w:jc w:val="left"/>
      </w:pPr>
      <w:r>
        <w:rPr>
          <w:rFonts w:hint="eastAsia" w:ascii="Arial" w:hAnsi="Arial" w:eastAsia="等线" w:cs="Arial"/>
          <w:sz w:val="22"/>
          <w:lang w:val="en-US" w:eastAsia="zh-CN"/>
        </w:rPr>
        <w:t>2</w:t>
      </w:r>
      <w:r>
        <w:rPr>
          <w:rFonts w:ascii="Arial" w:hAnsi="Arial" w:eastAsia="等线" w:cs="Arial"/>
          <w:sz w:val="22"/>
        </w:rPr>
        <w:t>. 参赛方案须为团队原创，数据来源合法合规。入围决赛团队须签署数据合规相关协议。</w:t>
      </w:r>
    </w:p>
    <w:p w14:paraId="6EFFE902">
      <w:pPr>
        <w:spacing w:before="120" w:after="120" w:line="288" w:lineRule="auto"/>
        <w:ind w:left="0" w:firstLine="420"/>
        <w:jc w:val="left"/>
      </w:pPr>
      <w:r>
        <w:rPr>
          <w:rFonts w:ascii="Arial" w:hAnsi="Arial" w:eastAsia="等线" w:cs="Arial"/>
          <w:sz w:val="22"/>
        </w:rPr>
        <w:t>联系方式：</w:t>
      </w:r>
    </w:p>
    <w:p w14:paraId="7AECA609">
      <w:pPr>
        <w:spacing w:before="120" w:after="120" w:line="288" w:lineRule="auto"/>
        <w:ind w:left="0" w:firstLine="420"/>
        <w:jc w:val="left"/>
        <w:rPr>
          <w:rFonts w:ascii="Arial" w:hAnsi="Arial" w:eastAsia="等线" w:cs="Arial"/>
          <w:sz w:val="22"/>
        </w:rPr>
      </w:pPr>
      <w:r>
        <w:rPr>
          <w:rFonts w:ascii="Arial" w:hAnsi="Arial" w:eastAsia="等线" w:cs="Arial"/>
          <w:sz w:val="22"/>
        </w:rPr>
        <w:t>大赛秘书处：王瑶（15201452821）、殷梦霞（18813172300）、陈语涵（18610568308）</w:t>
      </w:r>
    </w:p>
    <w:p w14:paraId="23593429">
      <w:pPr>
        <w:spacing w:before="120" w:after="120" w:line="288" w:lineRule="auto"/>
        <w:ind w:left="0" w:firstLine="420"/>
        <w:jc w:val="left"/>
        <w:rPr>
          <w:rFonts w:hint="default" w:ascii="Arial" w:hAnsi="Arial" w:eastAsia="等线" w:cs="Arial"/>
          <w:sz w:val="22"/>
          <w:lang w:val="en-US" w:eastAsia="zh-CN"/>
        </w:rPr>
      </w:pPr>
      <w:r>
        <w:rPr>
          <w:rFonts w:hint="eastAsia" w:ascii="Arial" w:hAnsi="Arial" w:eastAsia="等线" w:cs="Arial"/>
          <w:sz w:val="22"/>
          <w:lang w:val="en-US" w:eastAsia="zh-CN"/>
        </w:rPr>
        <w:t>高质量数据集建设</w:t>
      </w:r>
      <w:r>
        <w:rPr>
          <w:rFonts w:ascii="Arial" w:hAnsi="Arial" w:eastAsia="等线" w:cs="Arial"/>
          <w:sz w:val="22"/>
        </w:rPr>
        <w:t>技术</w:t>
      </w:r>
      <w:bookmarkStart w:id="0" w:name="_GoBack"/>
      <w:bookmarkEnd w:id="0"/>
      <w:r>
        <w:rPr>
          <w:rFonts w:ascii="Arial" w:hAnsi="Arial" w:eastAsia="等线" w:cs="Arial"/>
          <w:sz w:val="22"/>
        </w:rPr>
        <w:t>支持：</w:t>
      </w:r>
      <w:r>
        <w:rPr>
          <w:rFonts w:hint="eastAsia" w:ascii="Arial" w:hAnsi="Arial" w:eastAsia="等线" w:cs="Arial"/>
          <w:sz w:val="22"/>
          <w:lang w:val="en-US" w:eastAsia="zh-CN"/>
        </w:rPr>
        <w:t>曹鹏晖 13681066765，韩振朋 18236127818</w:t>
      </w:r>
    </w:p>
    <w:p w14:paraId="4AB31F23">
      <w:pPr>
        <w:spacing w:before="120" w:after="120" w:line="288" w:lineRule="auto"/>
        <w:ind w:left="0" w:firstLine="420"/>
        <w:jc w:val="left"/>
        <w:rPr>
          <w:rFonts w:ascii="Arial" w:hAnsi="Arial" w:eastAsia="等线" w:cs="Arial"/>
          <w:sz w:val="22"/>
        </w:rPr>
      </w:pPr>
      <w:r>
        <w:rPr>
          <w:rFonts w:hint="eastAsia" w:ascii="Arial" w:hAnsi="Arial" w:eastAsia="等线" w:cs="Arial"/>
          <w:sz w:val="22"/>
          <w:lang w:val="en-US" w:eastAsia="zh-CN"/>
        </w:rPr>
        <w:t>智能体二次开发平台</w:t>
      </w:r>
      <w:r>
        <w:rPr>
          <w:rFonts w:ascii="Arial" w:hAnsi="Arial" w:eastAsia="等线" w:cs="Arial"/>
          <w:sz w:val="22"/>
        </w:rPr>
        <w:t>PKPM Agent技术支持：那振雅  18210823750</w:t>
      </w:r>
    </w:p>
    <w:p w14:paraId="3996828C">
      <w:pPr>
        <w:spacing w:before="120" w:after="120" w:line="288" w:lineRule="auto"/>
        <w:ind w:left="0" w:firstLine="420"/>
        <w:jc w:val="left"/>
        <w:rPr>
          <w:rFonts w:ascii="Arial" w:hAnsi="Arial" w:eastAsia="等线" w:cs="Arial"/>
          <w:sz w:val="22"/>
        </w:rPr>
      </w:pPr>
      <w:r>
        <w:rPr>
          <w:rFonts w:ascii="Arial" w:hAnsi="Arial" w:eastAsia="等线" w:cs="Arial"/>
          <w:sz w:val="22"/>
        </w:rPr>
        <w:t>大赛官网：</w:t>
      </w:r>
      <w:r>
        <w:rPr>
          <w:rFonts w:hint="eastAsia" w:ascii="Arial" w:hAnsi="Arial" w:eastAsia="等线" w:cs="Arial"/>
          <w:sz w:val="22"/>
        </w:rPr>
        <w:t>https://www.gbcloud.pkpm.cn/competitionForAIAndHighQualityDatasets/</w:t>
      </w:r>
    </w:p>
    <w:p w14:paraId="1AA4A0EC">
      <w:pPr>
        <w:spacing w:before="120" w:after="120" w:line="288" w:lineRule="auto"/>
        <w:ind w:left="0" w:firstLine="420"/>
        <w:jc w:val="left"/>
        <w:rPr>
          <w:rFonts w:ascii="Arial" w:hAnsi="Arial" w:eastAsia="等线" w:cs="Arial"/>
          <w:sz w:val="22"/>
        </w:rPr>
      </w:pPr>
      <w:r>
        <w:rPr>
          <w:rFonts w:ascii="Arial" w:hAnsi="Arial" w:eastAsia="等线" w:cs="Arial"/>
          <w:sz w:val="22"/>
        </w:rPr>
        <w:t>官方邮箱：</w:t>
      </w:r>
      <w:r>
        <w:rPr>
          <w:rFonts w:ascii="Arial" w:hAnsi="Arial" w:eastAsia="等线" w:cs="Arial"/>
          <w:sz w:val="22"/>
        </w:rPr>
        <w:fldChar w:fldCharType="begin"/>
      </w:r>
      <w:r>
        <w:rPr>
          <w:rFonts w:ascii="Arial" w:hAnsi="Arial" w:eastAsia="等线" w:cs="Arial"/>
          <w:sz w:val="22"/>
        </w:rPr>
        <w:instrText xml:space="preserve"> HYPERLINK "mailto:cabr-ai@cabr.com.cn" </w:instrText>
      </w:r>
      <w:r>
        <w:rPr>
          <w:rFonts w:ascii="Arial" w:hAnsi="Arial" w:eastAsia="等线" w:cs="Arial"/>
          <w:sz w:val="22"/>
        </w:rPr>
        <w:fldChar w:fldCharType="separate"/>
      </w:r>
      <w:r>
        <w:rPr>
          <w:rStyle w:val="5"/>
          <w:rFonts w:ascii="Arial" w:hAnsi="Arial" w:eastAsia="等线" w:cs="Arial"/>
          <w:sz w:val="22"/>
        </w:rPr>
        <w:t>cabr-ai@cabr.com.cn</w:t>
      </w:r>
      <w:r>
        <w:rPr>
          <w:rFonts w:ascii="Arial" w:hAnsi="Arial" w:eastAsia="等线" w:cs="Arial"/>
          <w:sz w:val="22"/>
        </w:rPr>
        <w:fldChar w:fldCharType="end"/>
      </w:r>
    </w:p>
    <w:p w14:paraId="67DEDE13">
      <w:pPr>
        <w:spacing w:before="120" w:after="120" w:line="288" w:lineRule="auto"/>
        <w:ind w:left="0" w:firstLine="420"/>
        <w:jc w:val="left"/>
        <w:rPr>
          <w:rFonts w:ascii="Arial" w:hAnsi="Arial" w:eastAsia="等线" w:cs="Arial"/>
          <w:sz w:val="22"/>
        </w:rPr>
      </w:pPr>
    </w:p>
    <w:p w14:paraId="2DD9A1EE">
      <w:pPr>
        <w:spacing w:before="120" w:after="120" w:line="288" w:lineRule="auto"/>
        <w:ind w:left="0" w:firstLine="420"/>
        <w:jc w:val="left"/>
        <w:rPr>
          <w:rFonts w:ascii="Arial" w:hAnsi="Arial" w:eastAsia="等线" w:cs="Arial"/>
          <w:sz w:val="22"/>
        </w:rPr>
      </w:pPr>
    </w:p>
    <w:p w14:paraId="282E8DCB">
      <w:pPr>
        <w:spacing w:before="120" w:after="120" w:line="288" w:lineRule="auto"/>
        <w:ind w:left="0" w:firstLine="420"/>
        <w:jc w:val="left"/>
        <w:rPr>
          <w:rFonts w:hint="eastAsia" w:ascii="Arial" w:hAnsi="Arial" w:eastAsia="等线" w:cs="Arial"/>
          <w:sz w:val="22"/>
          <w:lang w:val="en-US" w:eastAsia="zh-CN"/>
        </w:rPr>
      </w:pPr>
      <w:r>
        <w:rPr>
          <w:rFonts w:hint="eastAsia" w:ascii="Arial" w:hAnsi="Arial" w:eastAsia="等线" w:cs="Arial"/>
          <w:sz w:val="22"/>
          <w:lang w:val="en-US" w:eastAsia="zh-CN"/>
        </w:rPr>
        <w:t>附件：参赛方案说明书模板</w:t>
      </w:r>
    </w:p>
    <w:p w14:paraId="47EDEC8D">
      <w:pPr>
        <w:spacing w:before="120" w:after="120" w:line="288" w:lineRule="auto"/>
        <w:ind w:left="0" w:firstLine="420"/>
        <w:jc w:val="left"/>
      </w:pPr>
    </w:p>
    <w:p w14:paraId="4D605A47">
      <w:pPr>
        <w:spacing w:before="120" w:after="120" w:line="288" w:lineRule="auto"/>
        <w:ind w:left="0" w:firstLine="420"/>
        <w:jc w:val="left"/>
      </w:pPr>
    </w:p>
    <w:p w14:paraId="6C766F44">
      <w:pPr>
        <w:spacing w:before="120" w:after="120" w:line="288" w:lineRule="auto"/>
        <w:ind w:left="0" w:firstLine="420"/>
        <w:jc w:val="right"/>
      </w:pPr>
      <w:r>
        <w:rPr>
          <w:rFonts w:ascii="Arial" w:hAnsi="Arial" w:eastAsia="等线" w:cs="Arial"/>
          <w:sz w:val="22"/>
        </w:rPr>
        <w:t>中国建筑科学研究院有限公司</w:t>
      </w:r>
    </w:p>
    <w:p w14:paraId="472DFB2B">
      <w:pPr>
        <w:spacing w:before="120" w:after="120" w:line="288" w:lineRule="auto"/>
        <w:ind w:left="0" w:firstLine="420"/>
        <w:jc w:val="right"/>
      </w:pPr>
      <w:r>
        <w:rPr>
          <w:rFonts w:ascii="Arial" w:hAnsi="Arial" w:eastAsia="等线" w:cs="Arial"/>
          <w:sz w:val="22"/>
        </w:rPr>
        <w:t>人工智能与高质量数据集大赛组委会</w:t>
      </w:r>
    </w:p>
    <w:p w14:paraId="720A3AAA">
      <w:pPr>
        <w:spacing w:before="120" w:after="120" w:line="288" w:lineRule="auto"/>
        <w:ind w:left="0" w:firstLine="420"/>
        <w:jc w:val="right"/>
      </w:pPr>
      <w:r>
        <w:rPr>
          <w:rFonts w:ascii="Arial" w:hAnsi="Arial" w:eastAsia="等线" w:cs="Arial"/>
          <w:sz w:val="22"/>
        </w:rPr>
        <w:t>2026年6月</w:t>
      </w:r>
      <w:r>
        <w:rPr>
          <w:rFonts w:hint="eastAsia" w:ascii="Arial" w:hAnsi="Arial" w:eastAsia="等线" w:cs="Arial"/>
          <w:sz w:val="22"/>
          <w:lang w:val="en-US" w:eastAsia="zh-CN"/>
        </w:rPr>
        <w:t>18</w:t>
      </w:r>
      <w:r>
        <w:rPr>
          <w:rFonts w:ascii="Arial" w:hAnsi="Arial" w:eastAsia="等线" w:cs="Arial"/>
          <w:sz w:val="22"/>
        </w:rPr>
        <w:t>日</w:t>
      </w:r>
    </w:p>
    <w:sectPr>
      <w:headerReference r:id="rId3" w:type="default"/>
      <w:footerReference r:id="rId4" w:type="default"/>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2BB7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9C9A6">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57800" cy="8858250"/>
          <wp:effectExtent l="0" t="0" r="0" b="6350"/>
          <wp:wrapNone/>
          <wp:docPr id="3" name="WordPictureWatermark1" descr="image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 descr="image899"/>
                  <pic:cNvPicPr>
                    <a:picLocks noChangeAspect="1"/>
                  </pic:cNvPicPr>
                </pic:nvPicPr>
                <pic:blipFill>
                  <a:blip r:embed="rId1"/>
                  <a:stretch>
                    <a:fillRect/>
                  </a:stretch>
                </pic:blipFill>
                <pic:spPr>
                  <a:xfrm>
                    <a:off x="0" y="0"/>
                    <a:ext cx="5257800" cy="88582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isplayHorizontalDrawingGridEvery w:val="1"/>
  <w:displayVerticalDrawingGridEvery w:val="1"/>
  <w:noPunctuationKerning w:val="1"/>
  <w:hdrShapeDefaults>
    <o:shapelayout v:ext="edit">
      <o:idmap v:ext="edit" data="3,4"/>
    </o:shapelayout>
  </w:hdrShapeDefaults>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897A92"/>
    <w:rsid w:val="0F796FF0"/>
    <w:rsid w:val="15836156"/>
    <w:rsid w:val="163C3805"/>
    <w:rsid w:val="164A731D"/>
    <w:rsid w:val="20B117B1"/>
    <w:rsid w:val="378D640D"/>
    <w:rsid w:val="38BB3347"/>
    <w:rsid w:val="393D2BAC"/>
    <w:rsid w:val="5AD9568C"/>
    <w:rsid w:val="61C373BF"/>
    <w:rsid w:val="6AB6681A"/>
    <w:rsid w:val="736F2C1D"/>
    <w:rsid w:val="78215C43"/>
    <w:rsid w:val="7CC213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 w:type="character" w:styleId="5">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Pages>
  <Words>1994</Words>
  <Characters>2353</Characters>
  <TotalTime>13</TotalTime>
  <ScaleCrop>false</ScaleCrop>
  <LinksUpToDate>false</LinksUpToDate>
  <CharactersWithSpaces>2379</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2026-06-16T09:07:00Z</dcterms:created>
  <dc:creator>Apache POI</dc:creator>
  <cp:lastModifiedBy>PKPM-JL</cp:lastModifiedBy>
  <dcterms:modified xsi:type="dcterms:W3CDTF">2026-06-18T07:37:59Z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eyJoZGlkIjoiOWZlNjBmNzc3NjMyN2M4ZTZjZDU2MTMzYmJkNjU3MGIiLCJ1c2VySWQiOiIxMDQyMjk5MDc5In0=</vt:lpwstr>
  </property>
  <property fmtid="{D5CDD505-2E9C-101B-9397-08002B2CF9AE}" pid="3" name="KSOProductBuildVer">
    <vt:lpwstr>2052-12.1.0.26895</vt:lpwstr>
  </property>
  <property fmtid="{D5CDD505-2E9C-101B-9397-08002B2CF9AE}" pid="4" name="ICV">
    <vt:lpwstr>2A93B525A8FB4255A9FF1B98F3534263_13</vt:lpwstr>
  </property>
</Properties>
</file>